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5B006" w14:textId="77777777" w:rsidR="00DA3588" w:rsidRDefault="00DD6CC5">
      <w:pPr>
        <w:pStyle w:val="TC"/>
      </w:pPr>
      <w:r>
        <w:rPr>
          <w:noProof/>
        </w:rPr>
        <w:drawing>
          <wp:inline distT="0" distB="0" distL="0" distR="0" wp14:anchorId="7ED13E14" wp14:editId="3C477E5A">
            <wp:extent cx="2362200" cy="648335"/>
            <wp:effectExtent l="0" t="0" r="0" b="0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ED33B" w14:textId="77777777" w:rsidR="00DA3588" w:rsidRDefault="00DA3588">
      <w:pPr>
        <w:pStyle w:val="TC"/>
      </w:pPr>
    </w:p>
    <w:p w14:paraId="28FA84C8" w14:textId="77777777" w:rsidR="00DA3588" w:rsidRDefault="00DA3588" w:rsidP="00273007">
      <w:pPr>
        <w:pStyle w:val="TC"/>
        <w:shd w:val="clear" w:color="auto" w:fill="DAEEF3" w:themeFill="accent5" w:themeFillTint="33"/>
        <w:ind w:left="-567" w:right="-567"/>
        <w:rPr>
          <w:color w:val="auto"/>
          <w:sz w:val="40"/>
          <w:szCs w:val="40"/>
        </w:rPr>
      </w:pPr>
    </w:p>
    <w:p w14:paraId="2DC4BA5C" w14:textId="77777777" w:rsidR="00DA3588" w:rsidRDefault="00DD6CC5" w:rsidP="00273007">
      <w:pPr>
        <w:pStyle w:val="TC"/>
        <w:shd w:val="clear" w:color="auto" w:fill="DAEEF3" w:themeFill="accent5" w:themeFillTint="33"/>
        <w:ind w:left="-567" w:right="-567"/>
        <w:rPr>
          <w:color w:val="auto"/>
          <w:sz w:val="40"/>
          <w:szCs w:val="40"/>
        </w:rPr>
      </w:pPr>
      <w:r>
        <w:rPr>
          <w:color w:val="auto"/>
          <w:sz w:val="40"/>
          <w:szCs w:val="40"/>
        </w:rPr>
        <w:t>caDRE DE REPONSE TECHNIQUE ET ENVIRONNEMENTALE</w:t>
      </w:r>
    </w:p>
    <w:p w14:paraId="6F2E1CC2" w14:textId="6A1EA4A2" w:rsidR="00DA3588" w:rsidRDefault="00DD6CC5" w:rsidP="00273007">
      <w:pPr>
        <w:pStyle w:val="TC"/>
        <w:shd w:val="clear" w:color="auto" w:fill="DAEEF3" w:themeFill="accent5" w:themeFillTint="33"/>
        <w:ind w:left="-567" w:right="-567"/>
        <w:rPr>
          <w:color w:val="auto"/>
          <w:sz w:val="36"/>
          <w:szCs w:val="36"/>
        </w:rPr>
      </w:pPr>
      <w:r>
        <w:rPr>
          <w:color w:val="auto"/>
          <w:sz w:val="36"/>
          <w:szCs w:val="36"/>
        </w:rPr>
        <w:t>objet du marche :</w:t>
      </w:r>
    </w:p>
    <w:p w14:paraId="349EBBA9" w14:textId="40A623EB" w:rsidR="00273007" w:rsidRDefault="00273007" w:rsidP="00273007">
      <w:pPr>
        <w:pStyle w:val="TC"/>
        <w:shd w:val="clear" w:color="auto" w:fill="DAEEF3" w:themeFill="accent5" w:themeFillTint="33"/>
        <w:ind w:left="-567" w:right="-567"/>
        <w:rPr>
          <w:color w:val="auto"/>
          <w:sz w:val="36"/>
          <w:szCs w:val="36"/>
        </w:rPr>
      </w:pPr>
      <w:r w:rsidRPr="00273007">
        <w:rPr>
          <w:color w:val="auto"/>
          <w:sz w:val="36"/>
          <w:szCs w:val="36"/>
        </w:rPr>
        <w:t>Acquisition d’un pulvérisateur automoteur destiné à réaliser des interventions phytosanitaires et de fertilisation liquide sur des parcelles de gran</w:t>
      </w:r>
      <w:bookmarkStart w:id="0" w:name="_GoBack"/>
      <w:bookmarkEnd w:id="0"/>
      <w:r w:rsidRPr="00273007">
        <w:rPr>
          <w:color w:val="auto"/>
          <w:sz w:val="36"/>
          <w:szCs w:val="36"/>
        </w:rPr>
        <w:t>des cultures ainsi que sur des parcelles d’expérimentation pour l’unité Expérimentale INRAE Grandes Cultures Innovation Environnement - Picardie (UE GCIE)</w:t>
      </w:r>
    </w:p>
    <w:p w14:paraId="5FA74784" w14:textId="2F6F872B" w:rsidR="00273007" w:rsidRDefault="00273007" w:rsidP="00273007">
      <w:pPr>
        <w:pStyle w:val="TC"/>
        <w:shd w:val="clear" w:color="auto" w:fill="DAEEF3" w:themeFill="accent5" w:themeFillTint="33"/>
        <w:ind w:left="-567" w:right="-567"/>
        <w:jc w:val="left"/>
        <w:rPr>
          <w:color w:val="auto"/>
          <w:sz w:val="36"/>
          <w:szCs w:val="36"/>
        </w:rPr>
      </w:pPr>
    </w:p>
    <w:p w14:paraId="797D11A4" w14:textId="77777777" w:rsidR="00DA3588" w:rsidRDefault="00DA3588">
      <w:pPr>
        <w:pStyle w:val="TC"/>
        <w:ind w:left="426"/>
        <w:rPr>
          <w:color w:val="auto"/>
          <w:sz w:val="28"/>
        </w:rPr>
      </w:pPr>
    </w:p>
    <w:p w14:paraId="4E1AC44D" w14:textId="77777777" w:rsidR="00DA3588" w:rsidRDefault="00DA3588">
      <w:pPr>
        <w:pStyle w:val="TC"/>
        <w:ind w:left="426"/>
        <w:jc w:val="left"/>
        <w:rPr>
          <w:color w:val="auto"/>
          <w:sz w:val="28"/>
        </w:rPr>
      </w:pPr>
    </w:p>
    <w:p w14:paraId="73E9A466" w14:textId="77777777" w:rsidR="00DA3588" w:rsidRDefault="00DA3588">
      <w:pPr>
        <w:pStyle w:val="TC"/>
        <w:ind w:left="426"/>
        <w:jc w:val="left"/>
        <w:rPr>
          <w:color w:val="auto"/>
          <w:sz w:val="28"/>
        </w:rPr>
      </w:pPr>
    </w:p>
    <w:p w14:paraId="6554C281" w14:textId="77777777" w:rsidR="00DA3588" w:rsidRDefault="00DD6CC5">
      <w:pPr>
        <w:pStyle w:val="TC"/>
        <w:ind w:left="426"/>
        <w:jc w:val="lef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NOM DU SOUMISSIONNAIRE</w:t>
      </w:r>
      <w:proofErr w:type="gramStart"/>
      <w:r>
        <w:rPr>
          <w:color w:val="auto"/>
          <w:sz w:val="28"/>
          <w:szCs w:val="28"/>
        </w:rPr>
        <w:t> :…</w:t>
      </w:r>
      <w:proofErr w:type="gramEnd"/>
      <w:r>
        <w:rPr>
          <w:color w:val="auto"/>
          <w:sz w:val="28"/>
          <w:szCs w:val="28"/>
        </w:rPr>
        <w:t xml:space="preserve">…………………………………. </w:t>
      </w:r>
    </w:p>
    <w:p w14:paraId="7FB6CCF7" w14:textId="77777777" w:rsidR="00DA3588" w:rsidRDefault="00DD6CC5">
      <w:pPr>
        <w:rPr>
          <w:rFonts w:ascii="Arial" w:eastAsia="Times New Roman" w:hAnsi="Arial" w:cs="Arial"/>
          <w:b/>
          <w:caps/>
          <w:sz w:val="28"/>
          <w:lang w:eastAsia="fr-FR"/>
        </w:rPr>
      </w:pPr>
      <w:r>
        <w:br w:type="page"/>
      </w:r>
    </w:p>
    <w:p w14:paraId="22E21479" w14:textId="77777777" w:rsidR="00DA3588" w:rsidRDefault="00DA3588">
      <w:pPr>
        <w:pStyle w:val="TC"/>
        <w:ind w:left="426"/>
        <w:rPr>
          <w:color w:val="auto"/>
          <w:sz w:val="28"/>
        </w:rPr>
      </w:pPr>
    </w:p>
    <w:p w14:paraId="5638196F" w14:textId="77777777" w:rsidR="00DA3588" w:rsidRDefault="00DD6CC5">
      <w:pPr>
        <w:spacing w:before="120"/>
        <w:jc w:val="both"/>
        <w:rPr>
          <w:i/>
          <w:iCs/>
        </w:rPr>
      </w:pPr>
      <w:r>
        <w:rPr>
          <w:i/>
          <w:iCs/>
        </w:rPr>
        <w:t>Le présent cadre de réponse est destiné à l’analyse des offres. Il détaille, pour chaque partie, la structure à respecter et le contenu à indiquer par le soumissionnaire pour établir sa réponse technique</w:t>
      </w:r>
      <w:r>
        <w:rPr>
          <w:b/>
          <w:bCs/>
          <w:i/>
          <w:iCs/>
        </w:rPr>
        <w:t>. Le soumissionnaire est tenu de respecter strictement le cadre ainsi constitué pour établir son offre technique</w:t>
      </w:r>
      <w:r>
        <w:rPr>
          <w:i/>
          <w:iCs/>
        </w:rPr>
        <w:t>. Ces parties permettent d’évaluer l’offre du soumissionnaire selon les critères de sélection des offres tels que définis dans le règlement de la consultation.</w:t>
      </w:r>
    </w:p>
    <w:p w14:paraId="413488FF" w14:textId="77777777" w:rsidR="00DA3588" w:rsidRDefault="00DD6CC5">
      <w:pPr>
        <w:spacing w:before="120"/>
        <w:jc w:val="both"/>
        <w:rPr>
          <w:i/>
          <w:iCs/>
        </w:rPr>
      </w:pPr>
      <w:r>
        <w:rPr>
          <w:i/>
          <w:iCs/>
        </w:rPr>
        <w:t>Le soumissionnaire est invité à intégrer les compléments aux différentes rubriques du cadre de réponse qu’il juge utiles sous forme d’annexes. Tous les chapitres et rubriques afférentes du présent document sont obligatoires.</w:t>
      </w:r>
    </w:p>
    <w:p w14:paraId="17787807" w14:textId="77777777" w:rsidR="00DA3588" w:rsidRDefault="00DD6CC5">
      <w:pPr>
        <w:rPr>
          <w:rFonts w:ascii="Arial" w:eastAsia="Times New Roman" w:hAnsi="Arial" w:cs="Arial"/>
          <w:b/>
          <w:caps/>
          <w:color w:val="849A11"/>
          <w:sz w:val="28"/>
          <w:lang w:eastAsia="fr-FR"/>
        </w:rPr>
      </w:pPr>
      <w:r>
        <w:br w:type="page"/>
      </w:r>
    </w:p>
    <w:p w14:paraId="03A172C6" w14:textId="2D0FA313" w:rsidR="00DA3588" w:rsidRDefault="00DD6C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AEEF3" w:themeFill="accent5" w:themeFillTint="33"/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 xml:space="preserve">CRITERE </w:t>
      </w:r>
      <w:r w:rsidR="008E4287">
        <w:rPr>
          <w:b/>
          <w:bCs/>
          <w:sz w:val="36"/>
          <w:szCs w:val="36"/>
        </w:rPr>
        <w:t>1</w:t>
      </w:r>
      <w:r>
        <w:rPr>
          <w:b/>
          <w:bCs/>
          <w:sz w:val="36"/>
          <w:szCs w:val="36"/>
        </w:rPr>
        <w:t xml:space="preserve"> – </w:t>
      </w:r>
      <w:r w:rsidR="00A91EEB">
        <w:rPr>
          <w:b/>
          <w:bCs/>
          <w:sz w:val="36"/>
          <w:szCs w:val="36"/>
        </w:rPr>
        <w:t xml:space="preserve">VALEUR TECHNIQUE </w:t>
      </w:r>
      <w:r>
        <w:rPr>
          <w:b/>
          <w:bCs/>
          <w:sz w:val="36"/>
          <w:szCs w:val="36"/>
        </w:rPr>
        <w:t>- 50 %</w:t>
      </w:r>
    </w:p>
    <w:p w14:paraId="63BCBB51" w14:textId="77777777" w:rsidR="00DA3588" w:rsidRDefault="00DD6CC5">
      <w:pPr>
        <w:pStyle w:val="Paragraphedeliste"/>
        <w:ind w:left="0"/>
        <w:jc w:val="both"/>
      </w:pPr>
      <w:r>
        <w:t>Le soumissionnaire présente dans cette partie :</w:t>
      </w:r>
    </w:p>
    <w:p w14:paraId="5A6B04C4" w14:textId="77777777" w:rsidR="00DA3588" w:rsidRDefault="00DA3588">
      <w:pPr>
        <w:pStyle w:val="Paragraphedeliste"/>
        <w:ind w:left="0"/>
        <w:jc w:val="both"/>
      </w:pPr>
    </w:p>
    <w:p w14:paraId="56A2B416" w14:textId="77777777" w:rsidR="00DA3588" w:rsidRDefault="00DD6CC5">
      <w:pPr>
        <w:pStyle w:val="Paragraphedeliste"/>
        <w:numPr>
          <w:ilvl w:val="0"/>
          <w:numId w:val="1"/>
        </w:numPr>
        <w:spacing w:before="120" w:after="0" w:line="240" w:lineRule="auto"/>
        <w:ind w:right="-142"/>
        <w:jc w:val="both"/>
      </w:pPr>
      <w:r>
        <w:t xml:space="preserve">Le matériel proposé et ses caractéristiques techniques dont notamment les éléments suivants : </w:t>
      </w:r>
    </w:p>
    <w:p w14:paraId="3AE38483" w14:textId="02D013C2" w:rsidR="00DA3588" w:rsidRDefault="00DD6CC5">
      <w:pPr>
        <w:pStyle w:val="Paragraphedeliste"/>
        <w:numPr>
          <w:ilvl w:val="1"/>
          <w:numId w:val="1"/>
        </w:numPr>
        <w:spacing w:after="0" w:line="240" w:lineRule="auto"/>
        <w:contextualSpacing w:val="0"/>
        <w:jc w:val="both"/>
      </w:pPr>
      <w:r>
        <w:t>Les performances de l’équipement proposé</w:t>
      </w:r>
    </w:p>
    <w:p w14:paraId="0392B3DA" w14:textId="61DA3120" w:rsidR="00EC29E3" w:rsidRDefault="00EC29E3" w:rsidP="00EC29E3">
      <w:pPr>
        <w:pStyle w:val="Paragraphedeliste"/>
        <w:numPr>
          <w:ilvl w:val="2"/>
          <w:numId w:val="1"/>
        </w:numPr>
        <w:spacing w:after="0" w:line="240" w:lineRule="auto"/>
        <w:contextualSpacing w:val="0"/>
        <w:jc w:val="both"/>
      </w:pPr>
      <w:r>
        <w:t xml:space="preserve">Performance des automatismes d’aide </w:t>
      </w:r>
      <w:r w:rsidR="00273007">
        <w:t>à</w:t>
      </w:r>
      <w:r>
        <w:t xml:space="preserve"> l’utilisation</w:t>
      </w:r>
    </w:p>
    <w:p w14:paraId="26F76C62" w14:textId="0A119A77" w:rsidR="00EC29E3" w:rsidRDefault="00EC29E3" w:rsidP="00EC29E3">
      <w:pPr>
        <w:pStyle w:val="Paragraphedeliste"/>
        <w:numPr>
          <w:ilvl w:val="2"/>
          <w:numId w:val="1"/>
        </w:numPr>
        <w:spacing w:after="0" w:line="240" w:lineRule="auto"/>
        <w:contextualSpacing w:val="0"/>
        <w:jc w:val="both"/>
      </w:pPr>
      <w:r>
        <w:t>Confort et protection de l’utilisateur</w:t>
      </w:r>
    </w:p>
    <w:p w14:paraId="5B17E474" w14:textId="5388A068" w:rsidR="00EC29E3" w:rsidRDefault="00EC29E3" w:rsidP="00EC29E3">
      <w:pPr>
        <w:pStyle w:val="Paragraphedeliste"/>
        <w:numPr>
          <w:ilvl w:val="2"/>
          <w:numId w:val="1"/>
        </w:numPr>
        <w:spacing w:after="0" w:line="240" w:lineRule="auto"/>
        <w:contextualSpacing w:val="0"/>
        <w:jc w:val="both"/>
      </w:pPr>
      <w:r>
        <w:t>Stabilité des rampes au travail</w:t>
      </w:r>
    </w:p>
    <w:p w14:paraId="59C1CD44" w14:textId="6D08B9E2" w:rsidR="00874198" w:rsidRPr="00CD74BD" w:rsidRDefault="00874198">
      <w:pPr>
        <w:pStyle w:val="Paragraphedeliste"/>
        <w:numPr>
          <w:ilvl w:val="1"/>
          <w:numId w:val="1"/>
        </w:numPr>
        <w:spacing w:after="0" w:line="240" w:lineRule="auto"/>
        <w:contextualSpacing w:val="0"/>
        <w:jc w:val="both"/>
      </w:pPr>
      <w:r w:rsidRPr="00CD74BD">
        <w:t>Le système de rinçage des rampes, du pulvérisateur</w:t>
      </w:r>
      <w:r w:rsidR="00AC5842" w:rsidRPr="00CD74BD">
        <w:t xml:space="preserve"> et </w:t>
      </w:r>
      <w:r w:rsidR="00EC29E3" w:rsidRPr="00CD74BD">
        <w:t>ses</w:t>
      </w:r>
      <w:r w:rsidRPr="00CD74BD">
        <w:t xml:space="preserve"> performance</w:t>
      </w:r>
      <w:r w:rsidR="00EC29E3" w:rsidRPr="00CD74BD">
        <w:t>s</w:t>
      </w:r>
      <w:r w:rsidRPr="00CD74BD">
        <w:t>.</w:t>
      </w:r>
    </w:p>
    <w:p w14:paraId="2CB12064" w14:textId="20A08404" w:rsidR="00874198" w:rsidRPr="00CD74BD" w:rsidRDefault="00874198">
      <w:pPr>
        <w:pStyle w:val="Paragraphedeliste"/>
        <w:numPr>
          <w:ilvl w:val="1"/>
          <w:numId w:val="1"/>
        </w:numPr>
        <w:spacing w:after="0" w:line="240" w:lineRule="auto"/>
        <w:contextualSpacing w:val="0"/>
        <w:jc w:val="both"/>
      </w:pPr>
      <w:r w:rsidRPr="00CD74BD">
        <w:t xml:space="preserve">Les </w:t>
      </w:r>
      <w:r w:rsidR="00CD74BD" w:rsidRPr="00CD74BD">
        <w:t>performances de</w:t>
      </w:r>
      <w:r w:rsidRPr="00CD74BD">
        <w:t xml:space="preserve"> braquage et manœuvre</w:t>
      </w:r>
    </w:p>
    <w:p w14:paraId="00541B10" w14:textId="34E09998" w:rsidR="00874198" w:rsidRPr="00CD74BD" w:rsidRDefault="00874198">
      <w:pPr>
        <w:pStyle w:val="Paragraphedeliste"/>
        <w:numPr>
          <w:ilvl w:val="1"/>
          <w:numId w:val="1"/>
        </w:numPr>
        <w:spacing w:after="0" w:line="240" w:lineRule="auto"/>
        <w:contextualSpacing w:val="0"/>
        <w:jc w:val="both"/>
      </w:pPr>
      <w:r w:rsidRPr="00CD74BD">
        <w:t xml:space="preserve">Capacité de l’automoteur </w:t>
      </w:r>
      <w:r w:rsidR="00CD74BD">
        <w:t>à</w:t>
      </w:r>
      <w:r w:rsidRPr="00CD74BD">
        <w:t xml:space="preserve"> </w:t>
      </w:r>
      <w:r w:rsidR="00CD74BD" w:rsidRPr="00CD74BD">
        <w:t>s’adapt</w:t>
      </w:r>
      <w:r w:rsidR="00CD74BD">
        <w:t>er</w:t>
      </w:r>
      <w:r w:rsidRPr="00CD74BD">
        <w:t xml:space="preserve"> aux conditions de travail en expérimentation.</w:t>
      </w:r>
    </w:p>
    <w:p w14:paraId="78A1A7DF" w14:textId="77777777" w:rsidR="00DA3588" w:rsidRDefault="00DD6CC5">
      <w:pPr>
        <w:pStyle w:val="Paragraphedeliste"/>
        <w:numPr>
          <w:ilvl w:val="1"/>
          <w:numId w:val="1"/>
        </w:numPr>
        <w:spacing w:after="0" w:line="240" w:lineRule="auto"/>
        <w:contextualSpacing w:val="0"/>
        <w:jc w:val="both"/>
      </w:pPr>
      <w:r>
        <w:t>Les modalités et délais de livraison</w:t>
      </w:r>
    </w:p>
    <w:p w14:paraId="6CB2165D" w14:textId="77777777" w:rsidR="00DA3588" w:rsidRDefault="00DD6CC5">
      <w:pPr>
        <w:pStyle w:val="Paragraphedeliste"/>
        <w:numPr>
          <w:ilvl w:val="1"/>
          <w:numId w:val="1"/>
        </w:numPr>
        <w:spacing w:after="0" w:line="240" w:lineRule="auto"/>
        <w:contextualSpacing w:val="0"/>
        <w:jc w:val="both"/>
      </w:pPr>
      <w:r>
        <w:t>Le délai maximum de réalisation des prestations sur lequel le titulaire s’engage pour l’ensemble des prestations;</w:t>
      </w:r>
    </w:p>
    <w:p w14:paraId="6F398CD7" w14:textId="77777777" w:rsidR="00DA3588" w:rsidRDefault="00DD6CC5">
      <w:r>
        <w:br w:type="page"/>
      </w:r>
    </w:p>
    <w:p w14:paraId="0DDCFB6F" w14:textId="5757676D" w:rsidR="00DA3588" w:rsidRDefault="00DD6C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AEEF3" w:themeFill="accent5" w:themeFillTint="33"/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 xml:space="preserve">CRITERE 3 – QUALITE DU </w:t>
      </w:r>
      <w:r w:rsidR="00A91EEB">
        <w:rPr>
          <w:b/>
          <w:bCs/>
          <w:sz w:val="36"/>
          <w:szCs w:val="36"/>
        </w:rPr>
        <w:t>SERVICE APRES VENTE</w:t>
      </w:r>
      <w:r>
        <w:rPr>
          <w:b/>
          <w:bCs/>
          <w:sz w:val="36"/>
          <w:szCs w:val="36"/>
        </w:rPr>
        <w:t xml:space="preserve"> </w:t>
      </w:r>
      <w:proofErr w:type="gramStart"/>
      <w:r>
        <w:rPr>
          <w:b/>
          <w:bCs/>
          <w:sz w:val="36"/>
          <w:szCs w:val="36"/>
        </w:rPr>
        <w:t xml:space="preserve">-  </w:t>
      </w:r>
      <w:r w:rsidR="00A91EEB">
        <w:rPr>
          <w:b/>
          <w:bCs/>
          <w:sz w:val="36"/>
          <w:szCs w:val="36"/>
        </w:rPr>
        <w:t>1</w:t>
      </w:r>
      <w:r>
        <w:rPr>
          <w:b/>
          <w:bCs/>
          <w:sz w:val="36"/>
          <w:szCs w:val="36"/>
        </w:rPr>
        <w:t>0</w:t>
      </w:r>
      <w:proofErr w:type="gramEnd"/>
      <w:r>
        <w:rPr>
          <w:b/>
          <w:bCs/>
          <w:sz w:val="36"/>
          <w:szCs w:val="36"/>
        </w:rPr>
        <w:t xml:space="preserve"> %</w:t>
      </w:r>
    </w:p>
    <w:p w14:paraId="71A69761" w14:textId="77777777" w:rsidR="00DA3588" w:rsidRDefault="00DD6CC5">
      <w:pPr>
        <w:pStyle w:val="Paragraphedeliste"/>
        <w:ind w:left="0"/>
        <w:jc w:val="both"/>
      </w:pPr>
      <w:r>
        <w:t>Le soumissionnaire présente dans cette partie :</w:t>
      </w:r>
    </w:p>
    <w:p w14:paraId="1F0A5E13" w14:textId="4E365E1E" w:rsidR="00DA3588" w:rsidRDefault="00DD6CC5">
      <w:pPr>
        <w:pStyle w:val="Paragraphedeliste"/>
        <w:numPr>
          <w:ilvl w:val="0"/>
          <w:numId w:val="1"/>
        </w:numPr>
        <w:jc w:val="both"/>
      </w:pPr>
      <w:r>
        <w:t>Les formations à la maintenance</w:t>
      </w:r>
      <w:r w:rsidR="000301B1">
        <w:t xml:space="preserve"> </w:t>
      </w:r>
    </w:p>
    <w:p w14:paraId="6BC7BFDD" w14:textId="77777777" w:rsidR="00DA3588" w:rsidRDefault="00DD6CC5">
      <w:pPr>
        <w:pStyle w:val="Paragraphedeliste"/>
        <w:numPr>
          <w:ilvl w:val="0"/>
          <w:numId w:val="1"/>
        </w:numPr>
        <w:jc w:val="both"/>
      </w:pPr>
      <w:r>
        <w:t>Les services proposés en garantie et maintenance dont notamment :</w:t>
      </w:r>
    </w:p>
    <w:p w14:paraId="69186DA1" w14:textId="77777777" w:rsidR="00DA3588" w:rsidRDefault="00DD6CC5">
      <w:pPr>
        <w:pStyle w:val="Paragraphedeliste"/>
        <w:numPr>
          <w:ilvl w:val="1"/>
          <w:numId w:val="1"/>
        </w:numPr>
        <w:spacing w:after="0" w:line="240" w:lineRule="auto"/>
        <w:contextualSpacing w:val="0"/>
        <w:jc w:val="both"/>
      </w:pPr>
      <w:r>
        <w:t>Les modalités de mise en œuvre</w:t>
      </w:r>
    </w:p>
    <w:p w14:paraId="6932AC80" w14:textId="77777777" w:rsidR="00DA3588" w:rsidRDefault="00DD6CC5">
      <w:pPr>
        <w:pStyle w:val="Paragraphedeliste"/>
        <w:numPr>
          <w:ilvl w:val="1"/>
          <w:numId w:val="1"/>
        </w:numPr>
        <w:spacing w:after="0" w:line="240" w:lineRule="auto"/>
        <w:contextualSpacing w:val="0"/>
        <w:jc w:val="both"/>
      </w:pPr>
      <w:r>
        <w:t>Délai d’intervention maximum</w:t>
      </w:r>
    </w:p>
    <w:p w14:paraId="5810A3BC" w14:textId="77777777" w:rsidR="00DA3588" w:rsidRDefault="00DD6CC5">
      <w:pPr>
        <w:pStyle w:val="Paragraphedeliste"/>
        <w:numPr>
          <w:ilvl w:val="1"/>
          <w:numId w:val="1"/>
        </w:numPr>
        <w:spacing w:after="0" w:line="240" w:lineRule="auto"/>
        <w:contextualSpacing w:val="0"/>
        <w:jc w:val="both"/>
      </w:pPr>
      <w:r>
        <w:t>L’expertise du personnel</w:t>
      </w:r>
    </w:p>
    <w:p w14:paraId="11663918" w14:textId="77777777" w:rsidR="00DA3588" w:rsidRDefault="00DD6CC5">
      <w:pPr>
        <w:pStyle w:val="Paragraphedeliste"/>
        <w:numPr>
          <w:ilvl w:val="1"/>
          <w:numId w:val="1"/>
        </w:numPr>
        <w:spacing w:after="0" w:line="240" w:lineRule="auto"/>
        <w:contextualSpacing w:val="0"/>
        <w:jc w:val="both"/>
      </w:pPr>
      <w:r>
        <w:t>Le support technique</w:t>
      </w:r>
      <w:r>
        <w:rPr>
          <w:color w:val="F79646" w:themeColor="accent6"/>
        </w:rPr>
        <w:t xml:space="preserve"> </w:t>
      </w:r>
      <w:r>
        <w:t>(documentation détaillée)</w:t>
      </w:r>
    </w:p>
    <w:p w14:paraId="19A9005F" w14:textId="77777777" w:rsidR="00DA3588" w:rsidRDefault="00DD6CC5">
      <w:pPr>
        <w:pStyle w:val="Paragraphedeliste"/>
        <w:numPr>
          <w:ilvl w:val="1"/>
          <w:numId w:val="1"/>
        </w:numPr>
        <w:spacing w:after="0" w:line="240" w:lineRule="auto"/>
        <w:contextualSpacing w:val="0"/>
        <w:jc w:val="both"/>
      </w:pPr>
      <w:r>
        <w:t>Les conditions de mise à jour des logiciels…</w:t>
      </w:r>
    </w:p>
    <w:p w14:paraId="58269F75" w14:textId="77777777" w:rsidR="00403642" w:rsidRDefault="00403642">
      <w:pPr>
        <w:rPr>
          <w:b/>
        </w:rPr>
      </w:pPr>
    </w:p>
    <w:p w14:paraId="03800E43" w14:textId="262F9F42" w:rsidR="00DA3588" w:rsidRPr="00403642" w:rsidRDefault="00403642">
      <w:pPr>
        <w:rPr>
          <w:rFonts w:cstheme="minorHAnsi"/>
          <w:b/>
          <w:sz w:val="36"/>
          <w:szCs w:val="36"/>
        </w:rPr>
      </w:pPr>
      <w:r w:rsidRPr="00403642">
        <w:rPr>
          <w:b/>
        </w:rPr>
        <w:t xml:space="preserve">Attention : </w:t>
      </w:r>
      <w:r w:rsidR="00273007" w:rsidRPr="00403642">
        <w:rPr>
          <w:b/>
        </w:rPr>
        <w:t xml:space="preserve">les </w:t>
      </w:r>
      <w:r w:rsidR="00273007">
        <w:rPr>
          <w:b/>
        </w:rPr>
        <w:t>d</w:t>
      </w:r>
      <w:r w:rsidR="00273007" w:rsidRPr="00403642">
        <w:rPr>
          <w:b/>
        </w:rPr>
        <w:t>élais maximums</w:t>
      </w:r>
      <w:r w:rsidRPr="00403642">
        <w:rPr>
          <w:b/>
        </w:rPr>
        <w:t xml:space="preserve"> pour effectuer une mise au point ou une réparation (en jours calendaires) doivent être renseignés à l’article 11.2.3 de l’acte d’engagement (AE valant CCP)</w:t>
      </w:r>
    </w:p>
    <w:p w14:paraId="62AFDA55" w14:textId="77777777" w:rsidR="00DA3588" w:rsidRDefault="00DA3588">
      <w:pPr>
        <w:rPr>
          <w:b/>
          <w:sz w:val="36"/>
          <w:szCs w:val="36"/>
        </w:rPr>
      </w:pPr>
    </w:p>
    <w:p w14:paraId="0F57DF59" w14:textId="77777777" w:rsidR="00DA3588" w:rsidRDefault="00DA3588">
      <w:pPr>
        <w:rPr>
          <w:b/>
          <w:sz w:val="36"/>
          <w:szCs w:val="36"/>
        </w:rPr>
      </w:pPr>
    </w:p>
    <w:p w14:paraId="39202576" w14:textId="77777777" w:rsidR="00DA3588" w:rsidRDefault="00DA3588">
      <w:pPr>
        <w:rPr>
          <w:b/>
          <w:sz w:val="36"/>
          <w:szCs w:val="36"/>
        </w:rPr>
      </w:pPr>
    </w:p>
    <w:p w14:paraId="2149E853" w14:textId="77777777" w:rsidR="00DA3588" w:rsidRDefault="00DA3588">
      <w:pPr>
        <w:rPr>
          <w:b/>
          <w:sz w:val="36"/>
          <w:szCs w:val="36"/>
        </w:rPr>
      </w:pPr>
    </w:p>
    <w:p w14:paraId="2B62846E" w14:textId="77777777" w:rsidR="00DA3588" w:rsidRDefault="00DA3588">
      <w:pPr>
        <w:rPr>
          <w:b/>
          <w:sz w:val="36"/>
          <w:szCs w:val="36"/>
        </w:rPr>
      </w:pPr>
    </w:p>
    <w:p w14:paraId="7D7F465A" w14:textId="77777777" w:rsidR="00DA3588" w:rsidRDefault="00DA3588">
      <w:pPr>
        <w:rPr>
          <w:b/>
          <w:sz w:val="36"/>
          <w:szCs w:val="36"/>
        </w:rPr>
      </w:pPr>
    </w:p>
    <w:p w14:paraId="16BAD519" w14:textId="77777777" w:rsidR="00DA3588" w:rsidRDefault="00DA3588">
      <w:pPr>
        <w:rPr>
          <w:b/>
          <w:sz w:val="36"/>
          <w:szCs w:val="36"/>
        </w:rPr>
      </w:pPr>
    </w:p>
    <w:p w14:paraId="188DD0DD" w14:textId="77777777" w:rsidR="00DA3588" w:rsidRDefault="00DA3588">
      <w:pPr>
        <w:rPr>
          <w:b/>
          <w:sz w:val="36"/>
          <w:szCs w:val="36"/>
        </w:rPr>
      </w:pPr>
    </w:p>
    <w:p w14:paraId="13926B48" w14:textId="77777777" w:rsidR="00DA3588" w:rsidRDefault="00DA3588">
      <w:pPr>
        <w:rPr>
          <w:b/>
          <w:sz w:val="36"/>
          <w:szCs w:val="36"/>
        </w:rPr>
      </w:pPr>
    </w:p>
    <w:p w14:paraId="732A5716" w14:textId="77777777" w:rsidR="00DA3588" w:rsidRDefault="00DA3588">
      <w:pPr>
        <w:rPr>
          <w:b/>
          <w:sz w:val="36"/>
          <w:szCs w:val="36"/>
        </w:rPr>
      </w:pPr>
    </w:p>
    <w:p w14:paraId="3A5BCE18" w14:textId="77777777" w:rsidR="00DA3588" w:rsidRDefault="00DA3588">
      <w:pPr>
        <w:rPr>
          <w:b/>
          <w:sz w:val="36"/>
          <w:szCs w:val="36"/>
        </w:rPr>
      </w:pPr>
    </w:p>
    <w:p w14:paraId="6EFE4628" w14:textId="77777777" w:rsidR="00DA3588" w:rsidRDefault="00DD6CC5">
      <w:pPr>
        <w:rPr>
          <w:b/>
          <w:sz w:val="36"/>
          <w:szCs w:val="36"/>
        </w:rPr>
      </w:pPr>
      <w:r>
        <w:br w:type="page"/>
      </w:r>
    </w:p>
    <w:p w14:paraId="2BD66BC3" w14:textId="31511F3A" w:rsidR="00DA3588" w:rsidRDefault="00DD6C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AEEF3" w:themeFill="accent5" w:themeFillTint="33"/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 xml:space="preserve">CRITERE 4 – </w:t>
      </w:r>
      <w:r w:rsidR="00A91EEB">
        <w:rPr>
          <w:b/>
          <w:bCs/>
          <w:sz w:val="36"/>
          <w:szCs w:val="36"/>
        </w:rPr>
        <w:t>DISPOSITIONS ENVIRONNEMENTALES</w:t>
      </w:r>
      <w:r>
        <w:rPr>
          <w:b/>
          <w:bCs/>
          <w:sz w:val="36"/>
          <w:szCs w:val="36"/>
        </w:rPr>
        <w:t xml:space="preserve"> - 10%</w:t>
      </w:r>
    </w:p>
    <w:p w14:paraId="5BF0DBCC" w14:textId="77777777" w:rsidR="00DA3588" w:rsidRDefault="00DD6CC5">
      <w:pPr>
        <w:pStyle w:val="Paragraphedeliste"/>
        <w:ind w:left="0"/>
        <w:jc w:val="both"/>
      </w:pPr>
      <w:r>
        <w:t>Le soumissionnaire présente dans cette partie les actions prises en matière environnementale :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4532"/>
        <w:gridCol w:w="4530"/>
      </w:tblGrid>
      <w:tr w:rsidR="00DA3588" w14:paraId="761068CA" w14:textId="77777777" w:rsidTr="00107D14">
        <w:trPr>
          <w:trHeight w:val="444"/>
        </w:trPr>
        <w:tc>
          <w:tcPr>
            <w:tcW w:w="4532" w:type="dxa"/>
            <w:shd w:val="clear" w:color="auto" w:fill="DAEEF3" w:themeFill="accent5" w:themeFillTint="33"/>
          </w:tcPr>
          <w:p w14:paraId="422D17A5" w14:textId="77777777" w:rsidR="00DA3588" w:rsidRDefault="00DD6CC5">
            <w:pPr>
              <w:widowControl w:val="0"/>
              <w:spacing w:before="120" w:after="12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S/C 1 - Consommation fluides – 40%</w:t>
            </w:r>
          </w:p>
        </w:tc>
        <w:tc>
          <w:tcPr>
            <w:tcW w:w="4530" w:type="dxa"/>
            <w:shd w:val="clear" w:color="auto" w:fill="DAEEF3" w:themeFill="accent5" w:themeFillTint="33"/>
          </w:tcPr>
          <w:p w14:paraId="56F0FC6B" w14:textId="77777777" w:rsidR="00DA3588" w:rsidRDefault="00DD6CC5">
            <w:pPr>
              <w:widowControl w:val="0"/>
              <w:spacing w:before="120"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Actions envisagées</w:t>
            </w:r>
          </w:p>
        </w:tc>
      </w:tr>
      <w:tr w:rsidR="00DA3588" w14:paraId="031B90BA" w14:textId="77777777" w:rsidTr="00107D14">
        <w:tc>
          <w:tcPr>
            <w:tcW w:w="4532" w:type="dxa"/>
          </w:tcPr>
          <w:p w14:paraId="6E90F801" w14:textId="6B68AE05" w:rsidR="00DA3588" w:rsidRDefault="00FC0BD7">
            <w:pPr>
              <w:widowControl w:val="0"/>
              <w:spacing w:before="120" w:after="0" w:line="240" w:lineRule="auto"/>
              <w:jc w:val="both"/>
            </w:pPr>
            <w:r>
              <w:rPr>
                <w:rFonts w:eastAsia="Calibri"/>
              </w:rPr>
              <w:t>Le matériel prévoit-il un mode de fonctionnement « basse consommation » ou « économie » ?</w:t>
            </w:r>
          </w:p>
        </w:tc>
        <w:tc>
          <w:tcPr>
            <w:tcW w:w="4530" w:type="dxa"/>
          </w:tcPr>
          <w:p w14:paraId="1B82C711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36"/>
                <w:szCs w:val="36"/>
              </w:rPr>
            </w:pPr>
          </w:p>
        </w:tc>
      </w:tr>
      <w:tr w:rsidR="00DA3588" w14:paraId="10D3E04B" w14:textId="77777777" w:rsidTr="00107D14">
        <w:tc>
          <w:tcPr>
            <w:tcW w:w="4532" w:type="dxa"/>
          </w:tcPr>
          <w:p w14:paraId="538BCFDD" w14:textId="77777777" w:rsidR="00DA3588" w:rsidRDefault="00DD6CC5">
            <w:pPr>
              <w:widowControl w:val="0"/>
              <w:spacing w:before="120" w:after="0" w:line="240" w:lineRule="auto"/>
              <w:jc w:val="both"/>
            </w:pPr>
            <w:r>
              <w:rPr>
                <w:rFonts w:eastAsia="Calibri"/>
              </w:rPr>
              <w:t>En utilisant le matériel en mode routinier, précisez les consommations de fluides nécessaire pour son fonctionnement.</w:t>
            </w:r>
          </w:p>
        </w:tc>
        <w:tc>
          <w:tcPr>
            <w:tcW w:w="4530" w:type="dxa"/>
          </w:tcPr>
          <w:p w14:paraId="35B23624" w14:textId="77777777" w:rsidR="00DA3588" w:rsidRDefault="00DA3588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A3588" w14:paraId="197FD01C" w14:textId="77777777" w:rsidTr="00107D14">
        <w:tc>
          <w:tcPr>
            <w:tcW w:w="4532" w:type="dxa"/>
            <w:shd w:val="clear" w:color="auto" w:fill="DAEEF3" w:themeFill="accent5" w:themeFillTint="33"/>
          </w:tcPr>
          <w:p w14:paraId="4E786A60" w14:textId="6596C162" w:rsidR="00DA3588" w:rsidRDefault="00DD6CC5">
            <w:pPr>
              <w:widowControl w:val="0"/>
              <w:spacing w:before="120" w:after="120" w:line="240" w:lineRule="auto"/>
              <w:jc w:val="both"/>
              <w:rPr>
                <w:b/>
                <w:bCs/>
                <w:sz w:val="36"/>
                <w:szCs w:val="36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S/C2 </w:t>
            </w:r>
            <w:r w:rsidR="00A91EEB">
              <w:rPr>
                <w:rFonts w:eastAsia="Calibri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eastAsia="Calibri"/>
                <w:b/>
                <w:bCs/>
                <w:sz w:val="24"/>
                <w:szCs w:val="24"/>
              </w:rPr>
              <w:t>Gestion</w:t>
            </w:r>
            <w:r w:rsidR="00A91EEB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sz w:val="24"/>
                <w:szCs w:val="24"/>
              </w:rPr>
              <w:t>des consommables/déchets/outillages – 40 %</w:t>
            </w:r>
          </w:p>
        </w:tc>
        <w:tc>
          <w:tcPr>
            <w:tcW w:w="4530" w:type="dxa"/>
            <w:shd w:val="clear" w:color="auto" w:fill="DAEEF3" w:themeFill="accent5" w:themeFillTint="33"/>
          </w:tcPr>
          <w:p w14:paraId="7C95CA53" w14:textId="77777777" w:rsidR="00DA3588" w:rsidRDefault="00DD6CC5">
            <w:pPr>
              <w:widowControl w:val="0"/>
              <w:spacing w:before="120" w:after="120" w:line="240" w:lineRule="auto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Actions envisagées</w:t>
            </w:r>
          </w:p>
        </w:tc>
      </w:tr>
      <w:tr w:rsidR="00DA3588" w14:paraId="03050EC9" w14:textId="77777777" w:rsidTr="00107D14">
        <w:tc>
          <w:tcPr>
            <w:tcW w:w="4532" w:type="dxa"/>
          </w:tcPr>
          <w:p w14:paraId="575F82AF" w14:textId="77777777" w:rsidR="00DA3588" w:rsidRDefault="00DD6CC5">
            <w:pPr>
              <w:widowControl w:val="0"/>
              <w:spacing w:before="120" w:after="0" w:line="240" w:lineRule="auto"/>
              <w:jc w:val="both"/>
            </w:pPr>
            <w:r>
              <w:rPr>
                <w:rFonts w:eastAsia="Calibri"/>
              </w:rPr>
              <w:t>Précisez la durée de vie par consommables utilisés (en nombre d’heure d’utilisation ou en nombre de cycle d’utilisation)</w:t>
            </w:r>
          </w:p>
        </w:tc>
        <w:tc>
          <w:tcPr>
            <w:tcW w:w="4530" w:type="dxa"/>
          </w:tcPr>
          <w:p w14:paraId="06255C7A" w14:textId="77777777" w:rsidR="00DA3588" w:rsidRDefault="00DD6CC5">
            <w:pPr>
              <w:widowControl w:val="0"/>
              <w:spacing w:after="0" w:line="240" w:lineRule="auto"/>
              <w:jc w:val="both"/>
            </w:pPr>
            <w:r>
              <w:rPr>
                <w:rFonts w:eastAsia="Calibri"/>
              </w:rPr>
              <w:t>Huiles usagées</w:t>
            </w:r>
          </w:p>
          <w:p w14:paraId="6259732F" w14:textId="77777777" w:rsidR="00DA3588" w:rsidRDefault="00DD6CC5">
            <w:pPr>
              <w:widowControl w:val="0"/>
              <w:spacing w:after="0" w:line="240" w:lineRule="auto"/>
              <w:jc w:val="both"/>
            </w:pPr>
            <w:r>
              <w:rPr>
                <w:rFonts w:eastAsia="Calibri"/>
              </w:rPr>
              <w:t>Batteries</w:t>
            </w:r>
          </w:p>
          <w:p w14:paraId="1CA4BB20" w14:textId="77777777" w:rsidR="00DA3588" w:rsidRDefault="00DD6CC5">
            <w:pPr>
              <w:widowControl w:val="0"/>
              <w:spacing w:after="0" w:line="240" w:lineRule="auto"/>
              <w:jc w:val="both"/>
            </w:pPr>
            <w:r>
              <w:rPr>
                <w:rFonts w:eastAsia="Calibri"/>
              </w:rPr>
              <w:t>Composants électroniques</w:t>
            </w:r>
          </w:p>
          <w:p w14:paraId="2D774168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53150055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67BA96A4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7C3202A4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259C5174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78ED9CFD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4EAC8B8C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4C725A97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5A0A3FCD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563E795B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35C288C0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DA3588" w14:paraId="6289993C" w14:textId="77777777" w:rsidTr="00107D14">
        <w:tc>
          <w:tcPr>
            <w:tcW w:w="4532" w:type="dxa"/>
          </w:tcPr>
          <w:p w14:paraId="7414F11C" w14:textId="77777777" w:rsidR="00DA3588" w:rsidRDefault="00DD6CC5">
            <w:pPr>
              <w:widowControl w:val="0"/>
              <w:spacing w:before="120" w:after="0" w:line="240" w:lineRule="auto"/>
              <w:jc w:val="both"/>
            </w:pPr>
            <w:r>
              <w:rPr>
                <w:rFonts w:eastAsia="Calibri"/>
              </w:rPr>
              <w:t>Précisez la durée de mise à disposition et le type de pièces détachées (NB : la durée de disponibilité des pièces détachées ne peut être inférieure au minimum exigé de 10 années) </w:t>
            </w:r>
          </w:p>
          <w:p w14:paraId="6272B2F0" w14:textId="77777777" w:rsidR="00DA3588" w:rsidRDefault="00DA3588">
            <w:pPr>
              <w:widowControl w:val="0"/>
              <w:spacing w:before="120" w:after="0" w:line="240" w:lineRule="auto"/>
              <w:jc w:val="both"/>
              <w:rPr>
                <w:rFonts w:cstheme="minorHAnsi"/>
              </w:rPr>
            </w:pPr>
          </w:p>
          <w:p w14:paraId="65478404" w14:textId="77777777" w:rsidR="00DA3588" w:rsidRDefault="00DA3588">
            <w:pPr>
              <w:widowControl w:val="0"/>
              <w:spacing w:after="0" w:line="240" w:lineRule="auto"/>
              <w:ind w:left="1080"/>
              <w:jc w:val="both"/>
              <w:rPr>
                <w:rFonts w:cstheme="minorHAnsi"/>
              </w:rPr>
            </w:pPr>
          </w:p>
        </w:tc>
        <w:tc>
          <w:tcPr>
            <w:tcW w:w="4530" w:type="dxa"/>
          </w:tcPr>
          <w:p w14:paraId="03A07DB3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3F02F340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6F3AB311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39F484B1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74935B54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5423AE55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77E3E6CA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7D19D382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62D41371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7CFAC192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3AE0F0FB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DA3588" w14:paraId="7C61892F" w14:textId="77777777" w:rsidTr="00107D14">
        <w:tc>
          <w:tcPr>
            <w:tcW w:w="4532" w:type="dxa"/>
          </w:tcPr>
          <w:p w14:paraId="53C87AA6" w14:textId="77777777" w:rsidR="00DA3588" w:rsidRDefault="00DD6CC5">
            <w:pPr>
              <w:widowControl w:val="0"/>
              <w:spacing w:before="120" w:after="0" w:line="240" w:lineRule="auto"/>
              <w:jc w:val="both"/>
            </w:pPr>
            <w:r>
              <w:rPr>
                <w:rFonts w:eastAsia="Calibri"/>
              </w:rPr>
              <w:t>Quelles mesures mettrez-vous en œuvre pour limiter les emballages et réduire les déchets au sein de votre entreprise ?</w:t>
            </w:r>
          </w:p>
          <w:p w14:paraId="4D1602B4" w14:textId="77777777" w:rsidR="00DA3588" w:rsidRDefault="00DA3588">
            <w:pPr>
              <w:widowControl w:val="0"/>
              <w:spacing w:before="120" w:after="0" w:line="240" w:lineRule="auto"/>
              <w:jc w:val="both"/>
              <w:rPr>
                <w:rFonts w:cstheme="minorHAnsi"/>
              </w:rPr>
            </w:pPr>
          </w:p>
          <w:p w14:paraId="60728968" w14:textId="77777777" w:rsidR="00DA3588" w:rsidRDefault="00DA3588">
            <w:pPr>
              <w:widowControl w:val="0"/>
              <w:spacing w:before="120"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530" w:type="dxa"/>
          </w:tcPr>
          <w:p w14:paraId="250E48B4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3007E6C7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3A2D1B69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6F81710B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53DAB465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08477B35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394E650A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0F8700BC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4933E671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671C5517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44F93D9B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  <w:p w14:paraId="28BD2C84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</w:p>
        </w:tc>
      </w:tr>
    </w:tbl>
    <w:p w14:paraId="44D8C9FC" w14:textId="77777777" w:rsidR="00DA3588" w:rsidRDefault="00DA3588"/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4532"/>
        <w:gridCol w:w="4530"/>
      </w:tblGrid>
      <w:tr w:rsidR="00DA3588" w14:paraId="68E1DDD8" w14:textId="77777777">
        <w:tc>
          <w:tcPr>
            <w:tcW w:w="4531" w:type="dxa"/>
            <w:shd w:val="clear" w:color="auto" w:fill="DAEEF3" w:themeFill="accent5" w:themeFillTint="33"/>
          </w:tcPr>
          <w:p w14:paraId="4BC99067" w14:textId="5D8D5C74" w:rsidR="00DA3588" w:rsidRDefault="00DD6CC5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S/C3 – Formation</w:t>
            </w:r>
            <w:r w:rsidR="00A91EEB">
              <w:rPr>
                <w:rFonts w:eastAsia="Calibri"/>
                <w:b/>
                <w:bCs/>
                <w:sz w:val="24"/>
                <w:szCs w:val="24"/>
              </w:rPr>
              <w:t xml:space="preserve"> développement durable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 – 10%</w:t>
            </w:r>
          </w:p>
        </w:tc>
        <w:tc>
          <w:tcPr>
            <w:tcW w:w="4530" w:type="dxa"/>
            <w:shd w:val="clear" w:color="auto" w:fill="DAEEF3" w:themeFill="accent5" w:themeFillTint="33"/>
          </w:tcPr>
          <w:p w14:paraId="0EB5A0AE" w14:textId="77777777" w:rsidR="00DA3588" w:rsidRDefault="00DD6CC5">
            <w:pPr>
              <w:widowControl w:val="0"/>
              <w:spacing w:before="120" w:after="120" w:line="240" w:lineRule="auto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Actions envisagées</w:t>
            </w:r>
          </w:p>
        </w:tc>
      </w:tr>
      <w:tr w:rsidR="00DA3588" w14:paraId="1F1F4ACC" w14:textId="77777777">
        <w:tc>
          <w:tcPr>
            <w:tcW w:w="4531" w:type="dxa"/>
          </w:tcPr>
          <w:p w14:paraId="3C088EDF" w14:textId="77777777" w:rsidR="00DA3588" w:rsidRDefault="00DD6CC5">
            <w:pPr>
              <w:widowControl w:val="0"/>
              <w:spacing w:before="120" w:after="0" w:line="240" w:lineRule="auto"/>
              <w:jc w:val="both"/>
            </w:pPr>
            <w:r>
              <w:rPr>
                <w:rFonts w:eastAsia="Calibri"/>
              </w:rPr>
              <w:t>Quel type de formation pensez-vous dispenser à vos personnels en matière de développement durable et dans le cas où ils disposent déjà d’une telle formation, quelles en sont les composantes ?</w:t>
            </w:r>
          </w:p>
          <w:p w14:paraId="2F5DCDF7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0" w:type="dxa"/>
          </w:tcPr>
          <w:p w14:paraId="3CB3451D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446F2ED8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7864EEFB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5330FD35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196EB4FF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47224CD7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09EAA269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09654281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0CB516B9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1A35721A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0F672072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02547675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7D510D17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29701A1B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4CA633D5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DA3588" w14:paraId="18D384D8" w14:textId="77777777">
        <w:tc>
          <w:tcPr>
            <w:tcW w:w="4531" w:type="dxa"/>
            <w:shd w:val="clear" w:color="auto" w:fill="DAEEF3" w:themeFill="accent5" w:themeFillTint="33"/>
          </w:tcPr>
          <w:p w14:paraId="0E85347A" w14:textId="77777777" w:rsidR="00DA3588" w:rsidRDefault="00DD6CC5">
            <w:pPr>
              <w:widowControl w:val="0"/>
              <w:spacing w:before="120" w:after="12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S/C4 - Fin de vie de l’appareil – 10%</w:t>
            </w:r>
          </w:p>
        </w:tc>
        <w:tc>
          <w:tcPr>
            <w:tcW w:w="4530" w:type="dxa"/>
            <w:shd w:val="clear" w:color="auto" w:fill="DAEEF3" w:themeFill="accent5" w:themeFillTint="33"/>
          </w:tcPr>
          <w:p w14:paraId="273AE0EC" w14:textId="77777777" w:rsidR="00DA3588" w:rsidRDefault="00DD6CC5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Actions envisagées</w:t>
            </w:r>
          </w:p>
        </w:tc>
      </w:tr>
      <w:tr w:rsidR="00DA3588" w14:paraId="4C453D82" w14:textId="77777777">
        <w:tc>
          <w:tcPr>
            <w:tcW w:w="4531" w:type="dxa"/>
          </w:tcPr>
          <w:p w14:paraId="059C1469" w14:textId="77777777" w:rsidR="00DA3588" w:rsidRDefault="00DD6CC5">
            <w:pPr>
              <w:widowControl w:val="0"/>
              <w:spacing w:before="120" w:after="0" w:line="240" w:lineRule="auto"/>
              <w:jc w:val="both"/>
            </w:pPr>
            <w:r>
              <w:rPr>
                <w:rFonts w:eastAsia="Calibri"/>
              </w:rPr>
              <w:t>Quel est le processus de gestion de fin de vie de l'appareil (recyclage, reconditionnement, revente d'occasion...)?</w:t>
            </w:r>
          </w:p>
          <w:p w14:paraId="4FC7ADA0" w14:textId="77777777" w:rsidR="00DA3588" w:rsidRDefault="00DA358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0" w:type="dxa"/>
          </w:tcPr>
          <w:p w14:paraId="3A5CB6C8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11DCE077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619BE57C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34BF9EFD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36431AB1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4763B66B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5759F099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30701398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56AC8B47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34681390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17C33CF4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3806149D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5C5198CF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41602BDE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217FC85B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3E360355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392A972A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31F60472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46154941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39A81329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7FF3EFD8" w14:textId="77777777" w:rsidR="00DA3588" w:rsidRDefault="00DA3588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175590CD" w14:textId="77777777" w:rsidR="00DA3588" w:rsidRDefault="00DD6CC5">
      <w:r>
        <w:br w:type="page"/>
      </w:r>
    </w:p>
    <w:p w14:paraId="48A0C384" w14:textId="77777777" w:rsidR="00DA3588" w:rsidRDefault="00DD6C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AEEF3" w:themeFill="accent5" w:themeFillTint="33"/>
        <w:jc w:val="both"/>
        <w:rPr>
          <w:b/>
          <w:bCs/>
          <w:sz w:val="36"/>
          <w:szCs w:val="36"/>
        </w:rPr>
      </w:pPr>
      <w:bookmarkStart w:id="1" w:name="_Toc427326890"/>
      <w:bookmarkStart w:id="2" w:name="_Toc130287928"/>
      <w:r>
        <w:rPr>
          <w:b/>
          <w:bCs/>
          <w:sz w:val="36"/>
          <w:szCs w:val="36"/>
        </w:rPr>
        <w:lastRenderedPageBreak/>
        <w:t>Informations complémentaires</w:t>
      </w:r>
      <w:bookmarkEnd w:id="1"/>
      <w:bookmarkEnd w:id="2"/>
    </w:p>
    <w:p w14:paraId="5A797DE3" w14:textId="77777777" w:rsidR="00DA3588" w:rsidRDefault="00DD6CC5">
      <w:pPr>
        <w:pStyle w:val="Indication"/>
        <w:rPr>
          <w:rFonts w:asciiTheme="minorHAnsi" w:hAnsiTheme="minorHAnsi" w:cstheme="minorBidi"/>
          <w:i w:val="0"/>
          <w:color w:val="auto"/>
          <w:sz w:val="22"/>
          <w:szCs w:val="22"/>
        </w:rPr>
      </w:pPr>
      <w:r>
        <w:rPr>
          <w:rFonts w:asciiTheme="minorHAnsi" w:hAnsiTheme="minorHAnsi" w:cstheme="minorBidi"/>
          <w:b/>
          <w:bCs/>
          <w:i w:val="0"/>
          <w:color w:val="auto"/>
          <w:sz w:val="22"/>
          <w:szCs w:val="22"/>
        </w:rPr>
        <w:t>Ce chapitre n’est pas obligatoire</w:t>
      </w:r>
      <w:r>
        <w:rPr>
          <w:rFonts w:asciiTheme="minorHAnsi" w:hAnsiTheme="minorHAnsi" w:cstheme="minorBidi"/>
          <w:i w:val="0"/>
          <w:color w:val="auto"/>
          <w:sz w:val="22"/>
          <w:szCs w:val="22"/>
        </w:rPr>
        <w:t>. Le soumissionnaire peut l’utiliser pour porter à la connaissance d’INRAE toute information complémentaire utile, non évoquée dans les chapitres précédents.</w:t>
      </w:r>
    </w:p>
    <w:p w14:paraId="01DF4CA1" w14:textId="77777777" w:rsidR="00DA3588" w:rsidRDefault="00DA3588">
      <w:pPr>
        <w:pStyle w:val="Indication"/>
        <w:rPr>
          <w:rFonts w:asciiTheme="minorHAnsi" w:hAnsiTheme="minorHAnsi" w:cstheme="minorHAnsi"/>
          <w:i w:val="0"/>
          <w:color w:val="auto"/>
          <w:sz w:val="22"/>
          <w:szCs w:val="22"/>
        </w:rPr>
      </w:pPr>
    </w:p>
    <w:p w14:paraId="6E8B63D3" w14:textId="77777777" w:rsidR="00DA3588" w:rsidRDefault="00DA3588">
      <w:pPr>
        <w:pStyle w:val="Indication"/>
        <w:rPr>
          <w:rFonts w:asciiTheme="minorHAnsi" w:hAnsiTheme="minorHAnsi" w:cstheme="minorHAnsi"/>
        </w:rPr>
      </w:pPr>
    </w:p>
    <w:p w14:paraId="74817D5A" w14:textId="77777777" w:rsidR="00DA3588" w:rsidRDefault="00DA3588">
      <w:pPr>
        <w:pStyle w:val="Indication"/>
        <w:rPr>
          <w:rFonts w:asciiTheme="minorHAnsi" w:hAnsiTheme="minorHAnsi" w:cstheme="minorHAnsi"/>
        </w:rPr>
      </w:pPr>
    </w:p>
    <w:p w14:paraId="26B2E59A" w14:textId="77777777" w:rsidR="00DA3588" w:rsidRDefault="00DA3588">
      <w:pPr>
        <w:pStyle w:val="Indication"/>
      </w:pPr>
    </w:p>
    <w:p w14:paraId="381EFAD2" w14:textId="77777777" w:rsidR="00DA3588" w:rsidRDefault="00DA3588">
      <w:pPr>
        <w:pStyle w:val="Indication"/>
        <w:rPr>
          <w:i w:val="0"/>
          <w:color w:val="auto"/>
        </w:rPr>
      </w:pPr>
    </w:p>
    <w:p w14:paraId="178914C5" w14:textId="77777777" w:rsidR="00DA3588" w:rsidRDefault="00DA3588">
      <w:pPr>
        <w:pStyle w:val="Indication"/>
      </w:pPr>
    </w:p>
    <w:p w14:paraId="00EE922D" w14:textId="77777777" w:rsidR="00DA3588" w:rsidRDefault="00DA3588">
      <w:pPr>
        <w:pStyle w:val="Normaltableau"/>
      </w:pPr>
    </w:p>
    <w:p w14:paraId="5B6A7C32" w14:textId="77777777" w:rsidR="00DA3588" w:rsidRDefault="00DA3588">
      <w:pPr>
        <w:pStyle w:val="Indication"/>
      </w:pPr>
    </w:p>
    <w:p w14:paraId="1F2B7EAE" w14:textId="77777777" w:rsidR="00DA3588" w:rsidRDefault="00DA3588">
      <w:pPr>
        <w:pStyle w:val="Indication"/>
      </w:pPr>
      <w:bookmarkStart w:id="3" w:name="_Toc483304342"/>
      <w:bookmarkStart w:id="4" w:name="_Toc199231710"/>
      <w:bookmarkEnd w:id="3"/>
      <w:bookmarkEnd w:id="4"/>
    </w:p>
    <w:p w14:paraId="62A7A975" w14:textId="77777777" w:rsidR="00DA3588" w:rsidRDefault="00DA3588">
      <w:pPr>
        <w:pStyle w:val="Indication"/>
      </w:pPr>
    </w:p>
    <w:p w14:paraId="551CDBF2" w14:textId="77777777" w:rsidR="00DA3588" w:rsidRDefault="00DA3588">
      <w:pPr>
        <w:pStyle w:val="Indication"/>
      </w:pPr>
    </w:p>
    <w:p w14:paraId="4F2EC913" w14:textId="77777777" w:rsidR="00DA3588" w:rsidRDefault="00DA3588"/>
    <w:p w14:paraId="50E4C8E6" w14:textId="77777777" w:rsidR="00DA3588" w:rsidRDefault="00DA3588"/>
    <w:p w14:paraId="73FC0814" w14:textId="77777777" w:rsidR="00DA3588" w:rsidRDefault="00DA3588"/>
    <w:p w14:paraId="26CED004" w14:textId="77777777" w:rsidR="00DA3588" w:rsidRDefault="00DA3588"/>
    <w:p w14:paraId="670F00E4" w14:textId="77777777" w:rsidR="00DA3588" w:rsidRDefault="00DA3588"/>
    <w:p w14:paraId="45A22A0E" w14:textId="77777777" w:rsidR="00DA3588" w:rsidRDefault="00DA3588"/>
    <w:p w14:paraId="79344542" w14:textId="77777777" w:rsidR="00DA3588" w:rsidRDefault="00DA3588"/>
    <w:p w14:paraId="6551DD93" w14:textId="77777777" w:rsidR="00DA3588" w:rsidRDefault="00DA3588"/>
    <w:p w14:paraId="10AE4020" w14:textId="77777777" w:rsidR="00DA3588" w:rsidRDefault="00DA3588"/>
    <w:p w14:paraId="07DEB870" w14:textId="77777777" w:rsidR="00DA3588" w:rsidRDefault="00DA3588"/>
    <w:p w14:paraId="065645A2" w14:textId="77777777" w:rsidR="00DA3588" w:rsidRDefault="00DA3588"/>
    <w:p w14:paraId="36B9FA05" w14:textId="77777777" w:rsidR="00DA3588" w:rsidRDefault="00DA3588"/>
    <w:p w14:paraId="17B96511" w14:textId="77777777" w:rsidR="00DA3588" w:rsidRDefault="00DA3588"/>
    <w:p w14:paraId="3E66E916" w14:textId="77777777" w:rsidR="00DA3588" w:rsidRDefault="00DA3588"/>
    <w:p w14:paraId="0D08B568" w14:textId="77777777" w:rsidR="00DA3588" w:rsidRDefault="00DA3588"/>
    <w:p w14:paraId="2224040A" w14:textId="77777777" w:rsidR="00DA3588" w:rsidRDefault="00DA3588"/>
    <w:p w14:paraId="5ABBC262" w14:textId="77777777" w:rsidR="00DA3588" w:rsidRDefault="00DA3588"/>
    <w:p w14:paraId="701CFFC4" w14:textId="77777777" w:rsidR="00DA3588" w:rsidRDefault="00DA3588"/>
    <w:p w14:paraId="238CFE10" w14:textId="77777777" w:rsidR="00DA3588" w:rsidRDefault="00DA3588"/>
    <w:p w14:paraId="72FB6907" w14:textId="77777777" w:rsidR="00DA3588" w:rsidRDefault="00DA3588"/>
    <w:p w14:paraId="31F91ABE" w14:textId="77777777" w:rsidR="00DA3588" w:rsidRDefault="00DD6CC5">
      <w:pPr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Annexes</w:t>
      </w:r>
    </w:p>
    <w:p w14:paraId="3C83C5C3" w14:textId="77777777" w:rsidR="00DA3588" w:rsidRDefault="00DD6CC5">
      <w:r>
        <w:t>__________________________________________________________________________________</w:t>
      </w:r>
    </w:p>
    <w:p w14:paraId="2646A268" w14:textId="77777777" w:rsidR="00DA3588" w:rsidRDefault="00DA3588"/>
    <w:sectPr w:rsidR="00DA3588">
      <w:pgSz w:w="11906" w:h="16838"/>
      <w:pgMar w:top="1417" w:right="1417" w:bottom="1417" w:left="1417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F6447"/>
    <w:multiLevelType w:val="multilevel"/>
    <w:tmpl w:val="756667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0C4D73"/>
    <w:multiLevelType w:val="multilevel"/>
    <w:tmpl w:val="01C09D04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588"/>
    <w:rsid w:val="000301B1"/>
    <w:rsid w:val="00107D14"/>
    <w:rsid w:val="00273007"/>
    <w:rsid w:val="002B1543"/>
    <w:rsid w:val="00377159"/>
    <w:rsid w:val="00402612"/>
    <w:rsid w:val="00403642"/>
    <w:rsid w:val="005B215A"/>
    <w:rsid w:val="006D19FE"/>
    <w:rsid w:val="00874198"/>
    <w:rsid w:val="008E4287"/>
    <w:rsid w:val="00992BC2"/>
    <w:rsid w:val="00A91EEB"/>
    <w:rsid w:val="00AC5842"/>
    <w:rsid w:val="00CD74BD"/>
    <w:rsid w:val="00DA3588"/>
    <w:rsid w:val="00DD6CC5"/>
    <w:rsid w:val="00EC29E3"/>
    <w:rsid w:val="00FC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A5A36"/>
  <w15:docId w15:val="{94BB8F16-7320-45E4-9205-FF8188E78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2906"/>
    <w:pPr>
      <w:spacing w:after="160" w:line="259" w:lineRule="auto"/>
    </w:pPr>
  </w:style>
  <w:style w:type="paragraph" w:styleId="Titre1">
    <w:name w:val="heading 1"/>
    <w:basedOn w:val="Normal"/>
    <w:next w:val="Normal"/>
    <w:link w:val="Titre1Car"/>
    <w:qFormat/>
    <w:rsid w:val="000C2F2A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0"/>
      <w:szCs w:val="30"/>
    </w:rPr>
  </w:style>
  <w:style w:type="paragraph" w:styleId="Titre2">
    <w:name w:val="heading 2"/>
    <w:basedOn w:val="Normal"/>
    <w:next w:val="Normal"/>
    <w:link w:val="Titre2Car"/>
    <w:unhideWhenUsed/>
    <w:qFormat/>
    <w:rsid w:val="000C2F2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943634" w:themeColor="accent2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nhideWhenUsed/>
    <w:qFormat/>
    <w:rsid w:val="000C2F2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E36C0A" w:themeColor="accent6" w:themeShade="BF"/>
      <w:sz w:val="26"/>
      <w:szCs w:val="26"/>
    </w:rPr>
  </w:style>
  <w:style w:type="paragraph" w:styleId="Titre4">
    <w:name w:val="heading 4"/>
    <w:basedOn w:val="Normal"/>
    <w:next w:val="Normal"/>
    <w:link w:val="Titre4Car"/>
    <w:unhideWhenUsed/>
    <w:qFormat/>
    <w:rsid w:val="000C2F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1849B" w:themeColor="accent5" w:themeShade="BF"/>
      <w:sz w:val="25"/>
      <w:szCs w:val="25"/>
    </w:rPr>
  </w:style>
  <w:style w:type="paragraph" w:styleId="Titre5">
    <w:name w:val="heading 5"/>
    <w:basedOn w:val="Normal"/>
    <w:next w:val="Normal"/>
    <w:link w:val="Titre5Car"/>
    <w:unhideWhenUsed/>
    <w:qFormat/>
    <w:rsid w:val="000C2F2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Titre6">
    <w:name w:val="heading 6"/>
    <w:basedOn w:val="Normal"/>
    <w:next w:val="Normal"/>
    <w:link w:val="Titre6Car"/>
    <w:unhideWhenUsed/>
    <w:qFormat/>
    <w:rsid w:val="000C2F2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984806" w:themeColor="accent6" w:themeShade="80"/>
      <w:sz w:val="23"/>
      <w:szCs w:val="23"/>
    </w:rPr>
  </w:style>
  <w:style w:type="paragraph" w:styleId="Titre7">
    <w:name w:val="heading 7"/>
    <w:basedOn w:val="Normal"/>
    <w:next w:val="Normal"/>
    <w:link w:val="Titre7Car"/>
    <w:unhideWhenUsed/>
    <w:qFormat/>
    <w:rsid w:val="000C2F2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Titre8">
    <w:name w:val="heading 8"/>
    <w:basedOn w:val="Normal"/>
    <w:next w:val="Normal"/>
    <w:link w:val="Titre8Car"/>
    <w:unhideWhenUsed/>
    <w:qFormat/>
    <w:rsid w:val="000C2F2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632423" w:themeColor="accent2" w:themeShade="80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qFormat/>
    <w:rsid w:val="000C2F2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984806" w:themeColor="accent6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qFormat/>
    <w:rsid w:val="000C2F2A"/>
    <w:rPr>
      <w:rFonts w:asciiTheme="majorHAnsi" w:eastAsiaTheme="majorEastAsia" w:hAnsiTheme="majorHAnsi" w:cstheme="majorBidi"/>
      <w:color w:val="365F91" w:themeColor="accent1" w:themeShade="BF"/>
      <w:sz w:val="30"/>
      <w:szCs w:val="30"/>
    </w:rPr>
  </w:style>
  <w:style w:type="character" w:customStyle="1" w:styleId="Titre2Car">
    <w:name w:val="Titre 2 Car"/>
    <w:basedOn w:val="Policepardfaut"/>
    <w:link w:val="Titre2"/>
    <w:uiPriority w:val="9"/>
    <w:qFormat/>
    <w:rsid w:val="000C2F2A"/>
    <w:rPr>
      <w:rFonts w:asciiTheme="majorHAnsi" w:eastAsiaTheme="majorEastAsia" w:hAnsiTheme="majorHAnsi" w:cstheme="majorBidi"/>
      <w:color w:val="943634" w:themeColor="accent2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qFormat/>
    <w:rsid w:val="000C2F2A"/>
    <w:rPr>
      <w:rFonts w:asciiTheme="majorHAnsi" w:eastAsiaTheme="majorEastAsia" w:hAnsiTheme="majorHAnsi" w:cstheme="majorBidi"/>
      <w:color w:val="E36C0A" w:themeColor="accent6" w:themeShade="BF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qFormat/>
    <w:rsid w:val="000C2F2A"/>
    <w:rPr>
      <w:rFonts w:asciiTheme="majorHAnsi" w:eastAsiaTheme="majorEastAsia" w:hAnsiTheme="majorHAnsi" w:cstheme="majorBidi"/>
      <w:i/>
      <w:iCs/>
      <w:color w:val="31849B" w:themeColor="accent5" w:themeShade="BF"/>
      <w:sz w:val="25"/>
      <w:szCs w:val="25"/>
    </w:rPr>
  </w:style>
  <w:style w:type="character" w:customStyle="1" w:styleId="Titre5Car">
    <w:name w:val="Titre 5 Car"/>
    <w:basedOn w:val="Policepardfaut"/>
    <w:link w:val="Titre5"/>
    <w:uiPriority w:val="9"/>
    <w:semiHidden/>
    <w:qFormat/>
    <w:rsid w:val="000C2F2A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qFormat/>
    <w:rsid w:val="000C2F2A"/>
    <w:rPr>
      <w:rFonts w:asciiTheme="majorHAnsi" w:eastAsiaTheme="majorEastAsia" w:hAnsiTheme="majorHAnsi" w:cstheme="majorBidi"/>
      <w:i/>
      <w:iCs/>
      <w:color w:val="984806" w:themeColor="accent6" w:themeShade="80"/>
      <w:sz w:val="23"/>
      <w:szCs w:val="23"/>
    </w:rPr>
  </w:style>
  <w:style w:type="character" w:customStyle="1" w:styleId="Titre7Car">
    <w:name w:val="Titre 7 Car"/>
    <w:basedOn w:val="Policepardfaut"/>
    <w:link w:val="Titre7"/>
    <w:uiPriority w:val="9"/>
    <w:semiHidden/>
    <w:qFormat/>
    <w:rsid w:val="000C2F2A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qFormat/>
    <w:rsid w:val="000C2F2A"/>
    <w:rPr>
      <w:rFonts w:asciiTheme="majorHAnsi" w:eastAsiaTheme="majorEastAsia" w:hAnsiTheme="majorHAnsi" w:cstheme="majorBidi"/>
      <w:color w:val="632423" w:themeColor="accent2" w:themeShade="80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qFormat/>
    <w:rsid w:val="000C2F2A"/>
    <w:rPr>
      <w:rFonts w:asciiTheme="majorHAnsi" w:eastAsiaTheme="majorEastAsia" w:hAnsiTheme="majorHAnsi" w:cstheme="majorBidi"/>
      <w:color w:val="984806" w:themeColor="accent6" w:themeShade="80"/>
    </w:rPr>
  </w:style>
  <w:style w:type="character" w:customStyle="1" w:styleId="TitreCar">
    <w:name w:val="Titre Car"/>
    <w:basedOn w:val="Policepardfaut"/>
    <w:link w:val="Titre"/>
    <w:uiPriority w:val="10"/>
    <w:qFormat/>
    <w:rsid w:val="000C2F2A"/>
    <w:rPr>
      <w:rFonts w:asciiTheme="majorHAnsi" w:eastAsiaTheme="majorEastAsia" w:hAnsiTheme="majorHAnsi" w:cstheme="majorBidi"/>
      <w:color w:val="365F91" w:themeColor="accent1" w:themeShade="BF"/>
      <w:spacing w:val="-10"/>
      <w:sz w:val="52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qFormat/>
    <w:rsid w:val="000C2F2A"/>
    <w:rPr>
      <w:rFonts w:asciiTheme="majorHAnsi" w:eastAsiaTheme="majorEastAsia" w:hAnsiTheme="majorHAnsi" w:cstheme="majorBidi"/>
    </w:rPr>
  </w:style>
  <w:style w:type="character" w:styleId="lev">
    <w:name w:val="Strong"/>
    <w:basedOn w:val="Policepardfaut"/>
    <w:uiPriority w:val="22"/>
    <w:qFormat/>
    <w:rsid w:val="000C2F2A"/>
    <w:rPr>
      <w:b/>
      <w:bCs/>
    </w:rPr>
  </w:style>
  <w:style w:type="character" w:styleId="Accentuation">
    <w:name w:val="Emphasis"/>
    <w:basedOn w:val="Policepardfaut"/>
    <w:uiPriority w:val="20"/>
    <w:qFormat/>
    <w:rsid w:val="000C2F2A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qFormat/>
    <w:rsid w:val="000C2F2A"/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qFormat/>
    <w:rsid w:val="000C2F2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styleId="Accentuationlgre">
    <w:name w:val="Subtle Emphasis"/>
    <w:basedOn w:val="Policepardfaut"/>
    <w:uiPriority w:val="19"/>
    <w:qFormat/>
    <w:rsid w:val="000C2F2A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0C2F2A"/>
    <w:rPr>
      <w:b w:val="0"/>
      <w:bCs w:val="0"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0C2F2A"/>
    <w:rPr>
      <w:smallCaps/>
      <w:color w:val="404040" w:themeColor="text1" w:themeTint="BF"/>
      <w:u w:val="single" w:color="7F7F7F"/>
    </w:rPr>
  </w:style>
  <w:style w:type="character" w:styleId="Rfrenceintense">
    <w:name w:val="Intense Reference"/>
    <w:basedOn w:val="Policepardfaut"/>
    <w:uiPriority w:val="32"/>
    <w:qFormat/>
    <w:rsid w:val="000C2F2A"/>
    <w:rPr>
      <w:b/>
      <w:bCs/>
      <w:smallCaps/>
      <w:color w:val="4F81BD" w:themeColor="accent1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0C2F2A"/>
    <w:rPr>
      <w:b/>
      <w:bCs/>
      <w:smallCaps/>
    </w:rPr>
  </w:style>
  <w:style w:type="character" w:customStyle="1" w:styleId="ParagraphedelisteCar">
    <w:name w:val="Paragraphe de liste Car"/>
    <w:link w:val="Paragraphedeliste"/>
    <w:uiPriority w:val="34"/>
    <w:qFormat/>
    <w:rsid w:val="00662906"/>
  </w:style>
  <w:style w:type="character" w:styleId="Marquedecommentaire">
    <w:name w:val="annotation reference"/>
    <w:basedOn w:val="Policepardfaut"/>
    <w:uiPriority w:val="99"/>
    <w:semiHidden/>
    <w:unhideWhenUsed/>
    <w:qFormat/>
    <w:rsid w:val="00082E55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082E55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082E55"/>
    <w:rPr>
      <w:b/>
      <w:bCs/>
      <w:sz w:val="20"/>
      <w:szCs w:val="2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082E55"/>
    <w:rPr>
      <w:rFonts w:ascii="Segoe UI" w:hAnsi="Segoe UI" w:cs="Segoe UI"/>
      <w:sz w:val="18"/>
      <w:szCs w:val="18"/>
    </w:rPr>
  </w:style>
  <w:style w:type="character" w:styleId="Numrodeligne">
    <w:name w:val="line number"/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Noto Sans Devanagari"/>
    </w:rPr>
  </w:style>
  <w:style w:type="paragraph" w:styleId="Lgende">
    <w:name w:val="caption"/>
    <w:basedOn w:val="Normal"/>
    <w:next w:val="Normal"/>
    <w:uiPriority w:val="35"/>
    <w:unhideWhenUsed/>
    <w:qFormat/>
    <w:rsid w:val="000C2F2A"/>
    <w:pPr>
      <w:spacing w:line="240" w:lineRule="auto"/>
    </w:pPr>
    <w:rPr>
      <w:b/>
      <w:bCs/>
      <w:smallCaps/>
      <w:color w:val="4F81BD" w:themeColor="accent1"/>
      <w:spacing w:val="6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itre">
    <w:name w:val="Title"/>
    <w:basedOn w:val="Normal"/>
    <w:next w:val="Corpsdetexte"/>
    <w:link w:val="TitreCar"/>
    <w:uiPriority w:val="10"/>
    <w:qFormat/>
    <w:rsid w:val="000C2F2A"/>
    <w:pPr>
      <w:spacing w:after="0" w:line="240" w:lineRule="auto"/>
      <w:contextualSpacing/>
    </w:pPr>
    <w:rPr>
      <w:rFonts w:asciiTheme="majorHAnsi" w:eastAsiaTheme="majorEastAsia" w:hAnsiTheme="majorHAnsi" w:cstheme="majorBidi"/>
      <w:color w:val="365F91" w:themeColor="accent1" w:themeShade="BF"/>
      <w:spacing w:val="-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C2F2A"/>
    <w:pPr>
      <w:spacing w:line="240" w:lineRule="auto"/>
    </w:pPr>
    <w:rPr>
      <w:rFonts w:asciiTheme="majorHAnsi" w:eastAsiaTheme="majorEastAsia" w:hAnsiTheme="majorHAnsi" w:cstheme="majorBidi"/>
    </w:rPr>
  </w:style>
  <w:style w:type="paragraph" w:styleId="Sansinterligne">
    <w:name w:val="No Spacing"/>
    <w:uiPriority w:val="1"/>
    <w:qFormat/>
    <w:rsid w:val="000C2F2A"/>
  </w:style>
  <w:style w:type="paragraph" w:styleId="Paragraphedeliste">
    <w:name w:val="List Paragraph"/>
    <w:basedOn w:val="Normal"/>
    <w:link w:val="ParagraphedelisteCar"/>
    <w:uiPriority w:val="34"/>
    <w:qFormat/>
    <w:rsid w:val="000C2F2A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0C2F2A"/>
    <w:pPr>
      <w:spacing w:before="120"/>
      <w:ind w:left="720" w:right="720"/>
      <w:jc w:val="center"/>
    </w:pPr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C2F2A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itreindex">
    <w:name w:val="index heading"/>
    <w:basedOn w:val="Titre"/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C2F2A"/>
    <w:pPr>
      <w:outlineLvl w:val="9"/>
    </w:pPr>
  </w:style>
  <w:style w:type="paragraph" w:customStyle="1" w:styleId="TC">
    <w:name w:val="TC"/>
    <w:basedOn w:val="Normal"/>
    <w:qFormat/>
    <w:rsid w:val="00662906"/>
    <w:pPr>
      <w:spacing w:before="480" w:after="480" w:line="240" w:lineRule="auto"/>
      <w:ind w:left="567" w:right="567"/>
      <w:jc w:val="center"/>
    </w:pPr>
    <w:rPr>
      <w:rFonts w:ascii="Arial" w:eastAsia="Times New Roman" w:hAnsi="Arial" w:cs="Arial"/>
      <w:b/>
      <w:caps/>
      <w:color w:val="0000FF"/>
      <w:sz w:val="24"/>
      <w:lang w:eastAsia="fr-FR"/>
    </w:rPr>
  </w:style>
  <w:style w:type="paragraph" w:customStyle="1" w:styleId="Normaltableau">
    <w:name w:val="Normal tableau"/>
    <w:basedOn w:val="Normal"/>
    <w:qFormat/>
    <w:rsid w:val="009347E0"/>
    <w:pPr>
      <w:spacing w:after="0" w:line="276" w:lineRule="auto"/>
    </w:pPr>
    <w:rPr>
      <w:rFonts w:ascii="Arial" w:eastAsia="Times New Roman" w:hAnsi="Arial" w:cs="Arial"/>
      <w:lang w:eastAsia="fr-FR"/>
    </w:rPr>
  </w:style>
  <w:style w:type="paragraph" w:customStyle="1" w:styleId="Indication">
    <w:name w:val="Indication"/>
    <w:basedOn w:val="Normal"/>
    <w:qFormat/>
    <w:rsid w:val="009347E0"/>
    <w:pPr>
      <w:spacing w:after="60" w:line="240" w:lineRule="auto"/>
      <w:ind w:right="567"/>
      <w:jc w:val="both"/>
    </w:pPr>
    <w:rPr>
      <w:rFonts w:ascii="Times New Roman" w:eastAsia="Times New Roman" w:hAnsi="Times New Roman" w:cs="Times New Roman"/>
      <w:i/>
      <w:color w:val="849A11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082E55"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082E55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082E5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vision">
    <w:name w:val="Revision"/>
    <w:uiPriority w:val="99"/>
    <w:semiHidden/>
    <w:qFormat/>
    <w:rsid w:val="00082E55"/>
  </w:style>
  <w:style w:type="table" w:styleId="Grilledutableau">
    <w:name w:val="Table Grid"/>
    <w:basedOn w:val="TableauNormal"/>
    <w:uiPriority w:val="39"/>
    <w:rsid w:val="001E2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64C1E-875C-4635-ADDA-0D9496BD8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647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Berthezene</dc:creator>
  <dc:description/>
  <cp:lastModifiedBy>Claude Hersant</cp:lastModifiedBy>
  <cp:revision>13</cp:revision>
  <dcterms:created xsi:type="dcterms:W3CDTF">2025-07-17T07:34:00Z</dcterms:created>
  <dcterms:modified xsi:type="dcterms:W3CDTF">2025-07-31T09:18:00Z</dcterms:modified>
  <dc:language>fr-FR</dc:language>
</cp:coreProperties>
</file>